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CUP MEETING AGENDA</w:t>
      </w:r>
    </w:p>
    <w:p w:rsidR="00000000" w:rsidDel="00000000" w:rsidP="00000000" w:rsidRDefault="00000000" w:rsidRPr="00000000" w14:paraId="00000002">
      <w:pPr>
        <w:spacing w:after="24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HELGA TOWNSHIP  25895 Co 9 BEMIDJI, MN</w:t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July 28, 2026 7:00 p.m.</w:t>
      </w:r>
    </w:p>
    <w:p w:rsidR="00000000" w:rsidDel="00000000" w:rsidP="00000000" w:rsidRDefault="00000000" w:rsidRPr="00000000" w14:paraId="00000004">
      <w:pPr>
        <w:spacing w:after="24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Recite Pledge of Allegiance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Review Planning Commission recommendation for Conditional Use Permit for Derik Zigmund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09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/>
      <w:drawing>
        <wp:inline distB="114300" distT="114300" distL="114300" distR="114300">
          <wp:extent cx="6777038" cy="95735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-702" r="702" t="0"/>
                  <a:stretch>
                    <a:fillRect/>
                  </a:stretch>
                </pic:blipFill>
                <pic:spPr>
                  <a:xfrm>
                    <a:off x="0" y="0"/>
                    <a:ext cx="6777038" cy="9573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